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right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03D4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Al ministro della Salute Roberto Speranza 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right"/>
        <w:outlineLvl w:val="1"/>
        <w:rPr>
          <w:rFonts w:cstheme="minorHAnsi"/>
          <w:color w:val="2A2A25"/>
          <w:sz w:val="24"/>
          <w:szCs w:val="24"/>
          <w:shd w:val="clear" w:color="auto" w:fill="FFFFFF"/>
        </w:rPr>
      </w:pPr>
      <w:r w:rsidRPr="00903D49">
        <w:rPr>
          <w:rFonts w:cstheme="minorHAnsi"/>
          <w:color w:val="2A2A25"/>
          <w:sz w:val="24"/>
          <w:szCs w:val="24"/>
          <w:shd w:val="clear" w:color="auto" w:fill="FFFFFF"/>
        </w:rPr>
        <w:t xml:space="preserve">Lungotevere Ripa, 1 - 00153 – Roma 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right"/>
        <w:outlineLvl w:val="1"/>
        <w:rPr>
          <w:rFonts w:cstheme="minorHAnsi"/>
          <w:color w:val="2A2A25"/>
          <w:sz w:val="24"/>
          <w:szCs w:val="24"/>
          <w:shd w:val="clear" w:color="auto" w:fill="FFFFFF"/>
        </w:rPr>
      </w:pP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</w:pPr>
      <w:r w:rsidRPr="00903D4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- ORDINANZA del ministero della Salute del </w:t>
      </w:r>
      <w:r w:rsidRPr="00903D4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 xml:space="preserve">16 agosto 2020 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i/>
          <w:sz w:val="24"/>
          <w:szCs w:val="24"/>
          <w:u w:val="single"/>
          <w:lang w:eastAsia="it-IT"/>
        </w:rPr>
      </w:pPr>
      <w:r w:rsidRPr="00903D49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it-IT"/>
        </w:rPr>
        <w:t xml:space="preserve">Ulteriori misure urgenti in materia di contenimento e gestione dell'emergenza epidemiologica da COVID-19. (20A04564) </w:t>
      </w:r>
      <w:r w:rsidRPr="00903D49">
        <w:rPr>
          <w:rFonts w:eastAsia="Times New Roman" w:cstheme="minorHAnsi"/>
          <w:i/>
          <w:sz w:val="24"/>
          <w:szCs w:val="24"/>
          <w:u w:val="single"/>
          <w:lang w:eastAsia="it-IT"/>
        </w:rPr>
        <w:t xml:space="preserve">(GU Serie Generale n.204 del 17-08-2020) 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</w:pPr>
      <w:r w:rsidRPr="00903D49">
        <w:rPr>
          <w:rFonts w:eastAsia="Times New Roman" w:cstheme="minorHAnsi"/>
          <w:i/>
          <w:sz w:val="24"/>
          <w:szCs w:val="24"/>
          <w:lang w:eastAsia="it-IT"/>
        </w:rPr>
        <w:t>Art 1 c1/a “</w:t>
      </w:r>
      <w:r w:rsidRPr="00903D49"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  <w:t xml:space="preserve">e' fatto obbligo dalle ore 18,00 alle  ore  06,00  sull'intero territorio nazionale di usare protezioni delle vie respiratorie anche all'aperto, negli spazi di pertinenza dei luoghi e locali  aperti  al pubblico  </w:t>
      </w:r>
      <w:proofErr w:type="spellStart"/>
      <w:r w:rsidRPr="00903D49"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  <w:t>nonche'</w:t>
      </w:r>
      <w:proofErr w:type="spellEnd"/>
      <w:r w:rsidRPr="00903D49"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  <w:t xml:space="preserve">  negli  spazi  pubblici  (piazze,   slarghi,   vie, lungomari) ove per le caratteristiche fisiche  sia  </w:t>
      </w:r>
      <w:proofErr w:type="spellStart"/>
      <w:r w:rsidRPr="00903D49"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  <w:t>piu'</w:t>
      </w:r>
      <w:proofErr w:type="spellEnd"/>
      <w:r w:rsidRPr="00903D49"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  <w:t xml:space="preserve">  agevole  il formarsi di assembramenti anche di natura spontanea e/o occasionale”. 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903D49"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  <w:t xml:space="preserve">Art 2 “Le regioni possono introdurre ulteriori misure solo  in  termini </w:t>
      </w:r>
      <w:proofErr w:type="spellStart"/>
      <w:r w:rsidRPr="00903D49"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  <w:t>piu'</w:t>
      </w:r>
      <w:proofErr w:type="spellEnd"/>
      <w:r w:rsidRPr="00903D49">
        <w:rPr>
          <w:rFonts w:eastAsia="Times New Roman" w:cstheme="minorHAnsi"/>
          <w:i/>
          <w:sz w:val="24"/>
          <w:szCs w:val="24"/>
          <w:shd w:val="clear" w:color="auto" w:fill="FFFFFF"/>
          <w:lang w:eastAsia="it-IT"/>
        </w:rPr>
        <w:t xml:space="preserve"> restrittivi rispetto a quelle di cui ai punti a) e b)”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. 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Il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/La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sottoscritt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o/a (</w:t>
      </w:r>
      <w:r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N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 xml:space="preserve">ome) 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da STATO </w:t>
      </w:r>
      <w:r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(C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ognome)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Essere Umano e Persona Umana, Individuo e Soggetto tutelato in Diritto Internazionale, di Nazionalità Italica, tutelato dal consesso delle norme dei Trattati Universali a Difesa dei Diritti Inalienabili dell’uomo, al momento abitante in via 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(</w:t>
      </w:r>
      <w:r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N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ome della via e numero civico)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nella Penisola italica, nei pressi del comune di 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 xml:space="preserve">(Comune o Città) 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(</w:t>
      </w:r>
      <w:r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P</w:t>
      </w:r>
      <w:r w:rsidRPr="00903D49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it-IT"/>
        </w:rPr>
        <w:t>rovincia per esteso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), In riferimento all’Ordinanza e agli articoli di cui all’oggetto 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PREMESSO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center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it-IT"/>
        </w:rPr>
      </w:pP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- L’ILLEGITTIMITA' DELLA DICHIARAZIONE DELLO STATO </w:t>
      </w:r>
      <w:proofErr w:type="spellStart"/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DI</w:t>
      </w:r>
      <w:proofErr w:type="spellEnd"/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EMERGENZA PER VIOLAZIONE DEGLI ARTICOLI 78 E 95 DELLA COSTITUZIONE (deliberazione del 31.1.2020 del Consiglio dei Ministri della Repubblica Italiana, pubblicata in G.U. Serie generale n. 26 del 1.2.2020) E DEI CONSEGUENTI DPCM EMESSI </w:t>
      </w: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ANCHE </w:t>
      </w: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IN VIOLAZIONE DELL'ARTICOLO 13 DELLA COSTITUZIONE, così come evidenziati anche nella sentenza del Giudice ordinario di Frosinone 15 – 29 luglio 2020, n. 516.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- IN QUALITÀ </w:t>
      </w:r>
      <w:proofErr w:type="spellStart"/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DI</w:t>
      </w:r>
      <w:proofErr w:type="spellEnd"/>
      <w:r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MINISTRO DELLA SALUTE DOVREBBE BEN CONOSCERE CHE L’USO DELLE MASCHERINE LEDE LE PIÙ SEMPLICI E BASILARI NOZIONI SCIENTIFICHE D’IGIENE E MICROBIOLOGIA </w:t>
      </w:r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 xml:space="preserve">NON AVENDO ALCUNA FUNZIONE PROTETTIVA NEI CONFRONTI </w:t>
      </w:r>
      <w:proofErr w:type="spellStart"/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>DI</w:t>
      </w:r>
      <w:proofErr w:type="spellEnd"/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 xml:space="preserve"> QUELLA QUOTA </w:t>
      </w:r>
      <w:proofErr w:type="spellStart"/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>DI</w:t>
      </w:r>
      <w:proofErr w:type="spellEnd"/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 xml:space="preserve"> VIRUS CHE FISIOLOGICAMENTE SI TROVA “SOSPESA” NELL’ARIA, INNESCANDO INOLTRE UNO STATO </w:t>
      </w:r>
      <w:proofErr w:type="spellStart"/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>DI</w:t>
      </w:r>
      <w:proofErr w:type="spellEnd"/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 xml:space="preserve"> ACIDOSI METABOLICA NEL SANGUE UNIVERSALMENTE RICONOSCIUTO DALLA LETTERATURA MEDICA COME CAUSA </w:t>
      </w:r>
      <w:proofErr w:type="spellStart"/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>DI</w:t>
      </w:r>
      <w:proofErr w:type="spellEnd"/>
      <w:r w:rsidRPr="00903D49">
        <w:rPr>
          <w:rFonts w:cstheme="minorHAnsi"/>
          <w:color w:val="333333"/>
          <w:sz w:val="24"/>
          <w:szCs w:val="24"/>
          <w:shd w:val="clear" w:color="auto" w:fill="FFFFFF"/>
        </w:rPr>
        <w:t xml:space="preserve"> MOLTEPLICI PROCESSI PATOLOGICI, COMPRESO IL CANCRO.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P.Q.M.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903D49">
        <w:rPr>
          <w:rFonts w:cstheme="minorHAnsi"/>
          <w:b/>
          <w:color w:val="333333"/>
          <w:sz w:val="24"/>
          <w:szCs w:val="24"/>
          <w:shd w:val="clear" w:color="auto" w:fill="FFFFFF"/>
        </w:rPr>
        <w:t>NON DÀ IL PROPRIO CONSENSO E, RIGETTANDOLO, DICHIARA NULLO IL PROVVEDIMENTO.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(Comune o Città) </w:t>
      </w:r>
      <w:r>
        <w:rPr>
          <w:rFonts w:cstheme="minorHAnsi"/>
          <w:sz w:val="24"/>
          <w:szCs w:val="24"/>
          <w:shd w:val="clear" w:color="auto" w:fill="FFFFFF"/>
        </w:rPr>
        <w:t xml:space="preserve">lì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(data)</w:t>
      </w: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sz w:val="24"/>
          <w:szCs w:val="24"/>
          <w:shd w:val="clear" w:color="auto" w:fill="FFFFFF"/>
        </w:rPr>
      </w:pPr>
      <w:r w:rsidRPr="00903D49">
        <w:rPr>
          <w:rFonts w:cstheme="minorHAnsi"/>
          <w:sz w:val="24"/>
          <w:szCs w:val="24"/>
          <w:shd w:val="clear" w:color="auto" w:fill="FFFFFF"/>
        </w:rPr>
        <w:t>______________________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>(firma leggibile)</w:t>
      </w: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sectPr w:rsidR="00903D49" w:rsidRPr="00903D49" w:rsidSect="00A51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B41"/>
    <w:multiLevelType w:val="hybridMultilevel"/>
    <w:tmpl w:val="C776B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5295"/>
    <w:rsid w:val="000504AE"/>
    <w:rsid w:val="005B5295"/>
    <w:rsid w:val="008E230C"/>
    <w:rsid w:val="00903D49"/>
    <w:rsid w:val="00A51846"/>
    <w:rsid w:val="00C2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846"/>
  </w:style>
  <w:style w:type="paragraph" w:styleId="Titolo2">
    <w:name w:val="heading 2"/>
    <w:basedOn w:val="Normale"/>
    <w:link w:val="Titolo2Carattere"/>
    <w:uiPriority w:val="9"/>
    <w:qFormat/>
    <w:rsid w:val="0090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3D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3D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903D49"/>
  </w:style>
  <w:style w:type="character" w:styleId="Collegamentoipertestuale">
    <w:name w:val="Hyperlink"/>
    <w:basedOn w:val="Carpredefinitoparagrafo"/>
    <w:uiPriority w:val="99"/>
    <w:semiHidden/>
    <w:unhideWhenUsed/>
    <w:rsid w:val="00903D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3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Noone</dc:creator>
  <cp:lastModifiedBy>Noone</cp:lastModifiedBy>
  <cp:revision>1</cp:revision>
  <dcterms:created xsi:type="dcterms:W3CDTF">2020-08-17T06:45:00Z</dcterms:created>
  <dcterms:modified xsi:type="dcterms:W3CDTF">2020-08-18T06:51:00Z</dcterms:modified>
</cp:coreProperties>
</file>